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44" w:rsidRDefault="00505944" w:rsidP="00EA79FD">
      <w:pPr>
        <w:spacing w:line="276" w:lineRule="auto"/>
        <w:ind w:right="188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DC4C7E" w:rsidRPr="0042582B" w:rsidRDefault="00DC4C7E" w:rsidP="00EA79FD">
      <w:pPr>
        <w:spacing w:line="276" w:lineRule="auto"/>
        <w:ind w:right="188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  <w:bookmarkStart w:id="0" w:name="_GoBack"/>
      <w:bookmarkEnd w:id="0"/>
    </w:p>
    <w:p w:rsidR="00505944" w:rsidRDefault="00505944" w:rsidP="00EA79FD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Wykaz pojemników, które Wykonawca zobowiązany jest zapewnić</w:t>
      </w:r>
    </w:p>
    <w:p w:rsidR="00EA79FD" w:rsidRPr="00EA79FD" w:rsidRDefault="00EA79FD" w:rsidP="00EA79FD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Punktu Selektywnej Zbiórki Odpadów Komunalnych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br/>
        <w:t>w Tuszynkach: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przeterminowane leki po pojemności co najmniej 60 L – 1 sztuka,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chemikalia o pojemności co najmniej 11</w:t>
      </w:r>
      <w:r w:rsidR="00C64140">
        <w:rPr>
          <w:rFonts w:ascii="Times New Roman" w:eastAsia="Times New Roman" w:hAnsi="Times New Roman" w:cs="Times New Roman"/>
          <w:sz w:val="24"/>
          <w:szCs w:val="16"/>
          <w:lang w:val="pl-PL"/>
        </w:rPr>
        <w:t>00 L – 2 sztuki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zużyte baterie i akumulatory o pojemności co najmniej 120 L – 1 sztuka,</w:t>
      </w:r>
    </w:p>
    <w:p w:rsidR="00505944" w:rsidRPr="0042582B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budowlane i remontowe o pojemności co najmniej KP7 (7000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typ mulda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,</w:t>
      </w:r>
    </w:p>
    <w:p w:rsidR="00505944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zielone i ulegające biodegradacji o pojemności co najmniej KP5 (5000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- otwarty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.</w:t>
      </w:r>
    </w:p>
    <w:p w:rsidR="00F86184" w:rsidRDefault="00F8618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F86184" w:rsidRDefault="00F86184" w:rsidP="00F8618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cmentarzy na terenie gminy Bukowiec</w:t>
      </w: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>: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Polskich Łąkach - pojemnik na odpady zmieszane KP7 (7000 L – typ kontener) – 1 sztuka,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Bukowcu - pojemnik na odpady zmieszane KP7 (7000 L – typ kontener) – 1 sztuka,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Przysiersku - pojemnik na odpady zmieszane KP7 (7000 L – typ kontener</w:t>
      </w:r>
      <w:r>
        <w:rPr>
          <w:rFonts w:ascii="Times New Roman" w:hAnsi="Times New Roman" w:cs="Times New Roman"/>
          <w:sz w:val="24"/>
          <w:lang w:val="pl-PL"/>
        </w:rPr>
        <w:t>) – 1 sztuka.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b/>
          <w:szCs w:val="16"/>
          <w:lang w:val="pl-PL"/>
        </w:rPr>
      </w:pP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>Pojemniki muszą zostać dostarczone w</w:t>
      </w:r>
      <w:r w:rsidR="00F86184"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nieprzekraczalnym terminie do 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1 </w:t>
      </w:r>
      <w:r w:rsidR="00F86184" w:rsidRPr="00EA79FD">
        <w:rPr>
          <w:rFonts w:ascii="Times New Roman" w:eastAsia="Times New Roman" w:hAnsi="Times New Roman" w:cs="Times New Roman"/>
          <w:b/>
          <w:szCs w:val="16"/>
          <w:lang w:val="pl-PL"/>
        </w:rPr>
        <w:t>stycznia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201</w:t>
      </w:r>
      <w:r w:rsidR="003A1FCF" w:rsidRPr="00EA79FD">
        <w:rPr>
          <w:rFonts w:ascii="Times New Roman" w:eastAsia="Times New Roman" w:hAnsi="Times New Roman" w:cs="Times New Roman"/>
          <w:b/>
          <w:szCs w:val="16"/>
          <w:lang w:val="pl-PL"/>
        </w:rPr>
        <w:t>8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r.</w:t>
      </w:r>
    </w:p>
    <w:p w:rsidR="00DC4C7E" w:rsidRPr="00EA79FD" w:rsidRDefault="00DC4C7E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b/>
          <w:szCs w:val="16"/>
          <w:lang w:val="pl-PL"/>
        </w:rPr>
      </w:pPr>
    </w:p>
    <w:p w:rsidR="003570B4" w:rsidRPr="00505944" w:rsidRDefault="003570B4">
      <w:pPr>
        <w:rPr>
          <w:lang w:val="pl-PL"/>
        </w:rPr>
      </w:pPr>
    </w:p>
    <w:sectPr w:rsidR="003570B4" w:rsidRPr="00505944" w:rsidSect="007950FD">
      <w:headerReference w:type="default" r:id="rId8"/>
      <w:pgSz w:w="11900" w:h="16840"/>
      <w:pgMar w:top="709" w:right="400" w:bottom="280" w:left="680" w:header="88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56" w:rsidRDefault="00C26556" w:rsidP="00EA79FD">
      <w:r>
        <w:separator/>
      </w:r>
    </w:p>
  </w:endnote>
  <w:endnote w:type="continuationSeparator" w:id="0">
    <w:p w:rsidR="00C26556" w:rsidRDefault="00C26556" w:rsidP="00EA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56" w:rsidRDefault="00C26556" w:rsidP="00EA79FD">
      <w:r>
        <w:separator/>
      </w:r>
    </w:p>
  </w:footnote>
  <w:footnote w:type="continuationSeparator" w:id="0">
    <w:p w:rsidR="00C26556" w:rsidRDefault="00C26556" w:rsidP="00EA7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FD" w:rsidRPr="00C67A68" w:rsidRDefault="00EA79FD" w:rsidP="00EA79FD">
    <w:pPr>
      <w:pStyle w:val="Nagwek10"/>
      <w:keepNext/>
      <w:keepLines/>
      <w:shd w:val="clear" w:color="auto" w:fill="auto"/>
      <w:spacing w:line="240" w:lineRule="exact"/>
      <w:jc w:val="left"/>
      <w:rPr>
        <w:b w:val="0"/>
      </w:rPr>
    </w:pPr>
    <w:r w:rsidRPr="00C67A68">
      <w:rPr>
        <w:rStyle w:val="NagweklubstopkaPogrubienie"/>
        <w:rFonts w:eastAsia="Arial Unicode MS"/>
        <w:sz w:val="22"/>
        <w:szCs w:val="22"/>
      </w:rPr>
      <w:t>RFiR.271.1.2017.PS</w:t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Pr="00EA79FD">
      <w:rPr>
        <w:rStyle w:val="NagweklubstopkaPogrubienie"/>
        <w:rFonts w:eastAsia="Arial Unicode MS"/>
        <w:sz w:val="22"/>
        <w:szCs w:val="22"/>
      </w:rPr>
      <w:tab/>
    </w:r>
    <w:r w:rsidR="00C67A68" w:rsidRPr="00C67A68">
      <w:rPr>
        <w:b w:val="0"/>
      </w:rPr>
      <w:t>Załącznik nr 11</w:t>
    </w:r>
  </w:p>
  <w:p w:rsidR="00EA79FD" w:rsidRDefault="00EA79FD">
    <w:pPr>
      <w:pStyle w:val="Nagwek"/>
    </w:pPr>
  </w:p>
  <w:p w:rsidR="00EA79FD" w:rsidRDefault="00EA79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3C8"/>
    <w:multiLevelType w:val="hybridMultilevel"/>
    <w:tmpl w:val="F21481CA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>
    <w:nsid w:val="5C543FAE"/>
    <w:multiLevelType w:val="hybridMultilevel"/>
    <w:tmpl w:val="83586228"/>
    <w:lvl w:ilvl="0" w:tplc="C910E21E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">
    <w:nsid w:val="76E46D17"/>
    <w:multiLevelType w:val="hybridMultilevel"/>
    <w:tmpl w:val="BBE00D9C"/>
    <w:lvl w:ilvl="0" w:tplc="C910E21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44"/>
    <w:rsid w:val="002F4EC0"/>
    <w:rsid w:val="003570B4"/>
    <w:rsid w:val="003A1FCF"/>
    <w:rsid w:val="00505944"/>
    <w:rsid w:val="007950FD"/>
    <w:rsid w:val="008579F4"/>
    <w:rsid w:val="00BE6469"/>
    <w:rsid w:val="00C12E6D"/>
    <w:rsid w:val="00C26556"/>
    <w:rsid w:val="00C64140"/>
    <w:rsid w:val="00C67A68"/>
    <w:rsid w:val="00DC4C7E"/>
    <w:rsid w:val="00EA79FD"/>
    <w:rsid w:val="00F35C2B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9F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F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FD"/>
    <w:rPr>
      <w:rFonts w:ascii="Tahoma" w:hAnsi="Tahoma" w:cs="Tahoma"/>
      <w:sz w:val="16"/>
      <w:szCs w:val="16"/>
      <w:lang w:val="en-US"/>
    </w:rPr>
  </w:style>
  <w:style w:type="character" w:customStyle="1" w:styleId="Nagwek1">
    <w:name w:val="Nagłówek #1_"/>
    <w:link w:val="Nagwek10"/>
    <w:locked/>
    <w:rsid w:val="00EA79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79F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lubstopkaPogrubienie">
    <w:name w:val="Nagłówek lub stopka + Pogrubienie"/>
    <w:rsid w:val="00EA79F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9F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F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FD"/>
    <w:rPr>
      <w:rFonts w:ascii="Tahoma" w:hAnsi="Tahoma" w:cs="Tahoma"/>
      <w:sz w:val="16"/>
      <w:szCs w:val="16"/>
      <w:lang w:val="en-US"/>
    </w:rPr>
  </w:style>
  <w:style w:type="character" w:customStyle="1" w:styleId="Nagwek1">
    <w:name w:val="Nagłówek #1_"/>
    <w:link w:val="Nagwek10"/>
    <w:locked/>
    <w:rsid w:val="00EA79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79F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lubstopkaPogrubienie">
    <w:name w:val="Nagłówek lub stopka + Pogrubienie"/>
    <w:rsid w:val="00EA79F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UG Bukowiec</cp:lastModifiedBy>
  <cp:revision>12</cp:revision>
  <dcterms:created xsi:type="dcterms:W3CDTF">2016-10-18T09:37:00Z</dcterms:created>
  <dcterms:modified xsi:type="dcterms:W3CDTF">2017-10-20T07:26:00Z</dcterms:modified>
</cp:coreProperties>
</file>